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</w:pPr>
      <w:r>
        <w:drawing>
          <wp:inline distT="0" distB="0" distL="114300" distR="114300">
            <wp:extent cx="595630" cy="539750"/>
            <wp:effectExtent l="0" t="0" r="13970" b="12700"/>
            <wp:docPr id="16" name="图片 16" descr="A000220150320H34PP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A000220150320H34PPIC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96995" cy="651510"/>
            <wp:effectExtent l="19050" t="0" r="825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19" name="图片 19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A000220150320H34PPIC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0" w:hRule="atLeast"/>
        </w:trPr>
        <w:tc>
          <w:tcPr>
            <w:tcW w:w="8522" w:type="dxa"/>
          </w:tcPr>
          <w:p>
            <w:pPr>
              <w:jc w:val="center"/>
            </w:pPr>
          </w:p>
          <w:p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 w:eastAsia="宋体"/>
                <w:sz w:val="52"/>
                <w:szCs w:val="52"/>
              </w:rPr>
              <w:t>产品规格书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客户名称：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厂商料号：      深圳市中科世纪科技有限公司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品    名：              无刷直流水泵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规    格：              DC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80E</w:t>
            </w:r>
            <w:r>
              <w:rPr>
                <w:rFonts w:hint="eastAsia" w:eastAsia="宋体"/>
                <w:sz w:val="28"/>
                <w:szCs w:val="28"/>
              </w:rPr>
              <w:t>系列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日    期：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客户签章：</w:t>
            </w:r>
          </w:p>
          <w:tbl>
            <w:tblPr>
              <w:tblStyle w:val="13"/>
              <w:tblW w:w="673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0"/>
              <w:gridCol w:w="1669"/>
              <w:gridCol w:w="1780"/>
              <w:gridCol w:w="18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40" w:type="dxa"/>
                </w:tcPr>
                <w:p>
                  <w:pPr>
                    <w:jc w:val="center"/>
                  </w:pPr>
                  <w:r>
                    <w:rPr>
                      <w:rFonts w:hint="eastAsia" w:eastAsia="宋体"/>
                    </w:rPr>
                    <w:t>确认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TEDTED BY</w:t>
                  </w:r>
                </w:p>
              </w:tc>
              <w:tc>
                <w:tcPr>
                  <w:tcW w:w="1669" w:type="dxa"/>
                </w:tcPr>
                <w:p>
                  <w:pPr>
                    <w:jc w:val="center"/>
                  </w:pPr>
                  <w:r>
                    <w:rPr>
                      <w:rFonts w:hint="eastAsia" w:eastAsia="宋体"/>
                    </w:rPr>
                    <w:t>审核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CHECKED BY</w:t>
                  </w:r>
                </w:p>
              </w:tc>
              <w:tc>
                <w:tcPr>
                  <w:tcW w:w="1780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批准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1849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480" w:lineRule="auto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承认章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71" w:hRule="atLeast"/>
                <w:jc w:val="center"/>
              </w:trPr>
              <w:tc>
                <w:tcPr>
                  <w:tcW w:w="1440" w:type="dxa"/>
                </w:tcPr>
                <w:p/>
              </w:tc>
              <w:tc>
                <w:tcPr>
                  <w:tcW w:w="1669" w:type="dxa"/>
                </w:tcPr>
                <w:p/>
              </w:tc>
              <w:tc>
                <w:tcPr>
                  <w:tcW w:w="1780" w:type="dxa"/>
                </w:tcPr>
                <w:p/>
              </w:tc>
              <w:tc>
                <w:tcPr>
                  <w:tcW w:w="1849" w:type="dxa"/>
                </w:tcPr>
                <w:p/>
              </w:tc>
            </w:tr>
          </w:tbl>
          <w:p/>
          <w:p>
            <w:r>
              <w:rPr>
                <w:rFonts w:hint="eastAsia" w:eastAsia="宋体"/>
              </w:rPr>
              <w:t>出厂签章：</w:t>
            </w:r>
          </w:p>
          <w:tbl>
            <w:tblPr>
              <w:tblStyle w:val="13"/>
              <w:tblW w:w="673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0"/>
              <w:gridCol w:w="1669"/>
              <w:gridCol w:w="1780"/>
              <w:gridCol w:w="18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40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制作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MADE</w:t>
                  </w:r>
                </w:p>
              </w:tc>
              <w:tc>
                <w:tcPr>
                  <w:tcW w:w="1669" w:type="dxa"/>
                </w:tcPr>
                <w:p>
                  <w:pPr>
                    <w:jc w:val="center"/>
                  </w:pPr>
                  <w:r>
                    <w:rPr>
                      <w:rFonts w:hint="eastAsia" w:eastAsia="宋体"/>
                    </w:rPr>
                    <w:t>审核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CHECKED BY</w:t>
                  </w:r>
                </w:p>
              </w:tc>
              <w:tc>
                <w:tcPr>
                  <w:tcW w:w="1780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批准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1849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480" w:lineRule="auto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承认章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71" w:hRule="atLeast"/>
                <w:jc w:val="center"/>
              </w:trPr>
              <w:tc>
                <w:tcPr>
                  <w:tcW w:w="1440" w:type="dxa"/>
                </w:tcPr>
                <w:p/>
              </w:tc>
              <w:tc>
                <w:tcPr>
                  <w:tcW w:w="1669" w:type="dxa"/>
                </w:tcPr>
                <w:p/>
              </w:tc>
              <w:tc>
                <w:tcPr>
                  <w:tcW w:w="1780" w:type="dxa"/>
                </w:tcPr>
                <w:p/>
              </w:tc>
              <w:tc>
                <w:tcPr>
                  <w:tcW w:w="1849" w:type="dxa"/>
                </w:tcPr>
                <w:p/>
              </w:tc>
            </w:tr>
          </w:tbl>
          <w:p/>
        </w:tc>
      </w:tr>
    </w:tbl>
    <w:p/>
    <w:p/>
    <w:p/>
    <w:p/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地址：深圳市宝安区福永街道大洋开发区福安工业区三期四栋二楼</w:t>
      </w:r>
    </w:p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手机：13750118644  18902846158   邮箱：century@szzksj.com</w:t>
      </w:r>
    </w:p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TEL：0755</w:t>
      </w:r>
      <w:r>
        <w:rPr>
          <w:rFonts w:eastAsia="宋体"/>
          <w:szCs w:val="21"/>
        </w:rPr>
        <w:t>—</w:t>
      </w:r>
      <w:r>
        <w:rPr>
          <w:rFonts w:hint="eastAsia" w:eastAsia="宋体"/>
          <w:szCs w:val="21"/>
        </w:rPr>
        <w:t>27811557     FaX：0755</w:t>
      </w:r>
      <w:r>
        <w:rPr>
          <w:rFonts w:eastAsia="宋体"/>
          <w:szCs w:val="21"/>
        </w:rPr>
        <w:t>—</w:t>
      </w:r>
      <w:r>
        <w:rPr>
          <w:rFonts w:hint="eastAsia" w:eastAsia="宋体"/>
          <w:szCs w:val="21"/>
        </w:rPr>
        <w:t>27811571</w:t>
      </w:r>
    </w:p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网址：</w:t>
      </w:r>
      <w:r>
        <w:fldChar w:fldCharType="begin"/>
      </w:r>
      <w:r>
        <w:instrText xml:space="preserve"> HYPERLINK "http://www.szzksj.com" </w:instrText>
      </w:r>
      <w:r>
        <w:fldChar w:fldCharType="separate"/>
      </w:r>
      <w:r>
        <w:rPr>
          <w:rStyle w:val="16"/>
          <w:rFonts w:hint="eastAsia" w:eastAsia="宋体"/>
          <w:szCs w:val="21"/>
        </w:rPr>
        <w:t>http://www.szzksj.com</w:t>
      </w:r>
      <w:r>
        <w:rPr>
          <w:rStyle w:val="16"/>
          <w:rFonts w:hint="eastAsia" w:eastAsia="宋体"/>
          <w:szCs w:val="21"/>
        </w:rPr>
        <w:fldChar w:fldCharType="end"/>
      </w:r>
    </w:p>
    <w:tbl>
      <w:tblPr>
        <w:tblStyle w:val="13"/>
        <w:tblW w:w="84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"/>
        <w:gridCol w:w="1403"/>
        <w:gridCol w:w="434"/>
        <w:gridCol w:w="831"/>
        <w:gridCol w:w="1265"/>
        <w:gridCol w:w="684"/>
        <w:gridCol w:w="581"/>
        <w:gridCol w:w="747"/>
        <w:gridCol w:w="21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84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bookmarkStart w:id="0" w:name="_Toc20730"/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 w:val="24"/>
                <w:szCs w:val="24"/>
                <w:highlight w:val="none"/>
                <w:lang w:val="en-US" w:eastAsia="zh-CN"/>
              </w:rPr>
              <w:t>一．</w:t>
            </w:r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 w:val="24"/>
                <w:szCs w:val="24"/>
              </w:rPr>
              <w:t>产品特征简介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产品名称:</w:t>
            </w:r>
          </w:p>
        </w:tc>
        <w:tc>
          <w:tcPr>
            <w:tcW w:w="32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无刷直流水泵DC80E</w:t>
            </w:r>
          </w:p>
        </w:tc>
        <w:tc>
          <w:tcPr>
            <w:tcW w:w="3489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  <w:p>
            <w:pPr>
              <w:rPr>
                <w:rFonts w:hint="eastAsia" w:eastAsiaTheme="minorEastAsia"/>
                <w:lang w:eastAsia="zh-CN"/>
              </w:rPr>
            </w:pPr>
            <w:r>
              <w:drawing>
                <wp:inline distT="0" distB="0" distL="114300" distR="114300">
                  <wp:extent cx="2190750" cy="1228725"/>
                  <wp:effectExtent l="0" t="0" r="0" b="9525"/>
                  <wp:docPr id="2" name="图片 1" descr="F:\工作文件\80\图片\80-2\1.jp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F:\工作文件\80\图片\80-2\1.jpg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14971" t="23759" r="16494" b="189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2209800" cy="1208405"/>
                  <wp:effectExtent l="0" t="0" r="0" b="10795"/>
                  <wp:docPr id="4" name="图片 1" descr="F:\工作文件\80\图片\80-2\3.jp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F:\工作文件\80\图片\80-2\3.jpg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9802" t="23116" r="12159" b="133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型号：</w:t>
            </w:r>
          </w:p>
        </w:tc>
        <w:tc>
          <w:tcPr>
            <w:tcW w:w="32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DC80E</w:t>
            </w:r>
          </w:p>
        </w:tc>
        <w:tc>
          <w:tcPr>
            <w:tcW w:w="3489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重量：</w:t>
            </w:r>
          </w:p>
        </w:tc>
        <w:tc>
          <w:tcPr>
            <w:tcW w:w="32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2.1kg</w:t>
            </w:r>
          </w:p>
        </w:tc>
        <w:tc>
          <w:tcPr>
            <w:tcW w:w="3489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寿命：</w:t>
            </w:r>
          </w:p>
        </w:tc>
        <w:tc>
          <w:tcPr>
            <w:tcW w:w="32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≥3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0000h</w:t>
            </w: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连续</w:t>
            </w:r>
          </w:p>
        </w:tc>
        <w:tc>
          <w:tcPr>
            <w:tcW w:w="3489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5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防护等级：</w:t>
            </w:r>
          </w:p>
        </w:tc>
        <w:tc>
          <w:tcPr>
            <w:tcW w:w="32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IP68</w:t>
            </w:r>
          </w:p>
        </w:tc>
        <w:tc>
          <w:tcPr>
            <w:tcW w:w="3489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6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颜色：</w:t>
            </w:r>
          </w:p>
        </w:tc>
        <w:tc>
          <w:tcPr>
            <w:tcW w:w="32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黑色</w:t>
            </w:r>
          </w:p>
        </w:tc>
        <w:tc>
          <w:tcPr>
            <w:tcW w:w="3489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7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认证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：</w:t>
            </w:r>
          </w:p>
        </w:tc>
        <w:tc>
          <w:tcPr>
            <w:tcW w:w="32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CE,ROSH</w:t>
            </w:r>
          </w:p>
        </w:tc>
        <w:tc>
          <w:tcPr>
            <w:tcW w:w="3489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8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壳体材料：</w:t>
            </w:r>
          </w:p>
        </w:tc>
        <w:tc>
          <w:tcPr>
            <w:tcW w:w="32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PPS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+30%GF</w:t>
            </w:r>
          </w:p>
        </w:tc>
        <w:tc>
          <w:tcPr>
            <w:tcW w:w="3489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9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highlight w:val="none"/>
              </w:rPr>
              <w:t>噪音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：</w:t>
            </w:r>
          </w:p>
        </w:tc>
        <w:tc>
          <w:tcPr>
            <w:tcW w:w="32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≤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eastAsia="宋体"/>
                <w:sz w:val="18"/>
                <w:szCs w:val="18"/>
              </w:rPr>
              <w:t>dB</w:t>
            </w:r>
          </w:p>
        </w:tc>
        <w:tc>
          <w:tcPr>
            <w:tcW w:w="3489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10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密封性：</w:t>
            </w:r>
          </w:p>
        </w:tc>
        <w:tc>
          <w:tcPr>
            <w:tcW w:w="32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≥1MPa</w:t>
            </w: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10kg）</w:t>
            </w:r>
          </w:p>
        </w:tc>
        <w:tc>
          <w:tcPr>
            <w:tcW w:w="3489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11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绝缘等级：</w:t>
            </w:r>
          </w:p>
        </w:tc>
        <w:tc>
          <w:tcPr>
            <w:tcW w:w="32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H级（180°）</w:t>
            </w:r>
          </w:p>
        </w:tc>
        <w:tc>
          <w:tcPr>
            <w:tcW w:w="3489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12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工作原理：</w:t>
            </w:r>
          </w:p>
        </w:tc>
        <w:tc>
          <w:tcPr>
            <w:tcW w:w="32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3489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13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用途：</w:t>
            </w:r>
          </w:p>
        </w:tc>
        <w:tc>
          <w:tcPr>
            <w:tcW w:w="32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电动汽车散热系统，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循环散热系统</w:t>
            </w:r>
          </w:p>
        </w:tc>
        <w:tc>
          <w:tcPr>
            <w:tcW w:w="3489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84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b/>
                <w:bCs/>
                <w:color w:val="00B050"/>
                <w:sz w:val="24"/>
                <w:szCs w:val="24"/>
                <w:highlight w:val="none"/>
                <w:lang w:val="en-US" w:eastAsia="zh-CN"/>
              </w:rPr>
              <w:t>二．</w:t>
            </w:r>
            <w:r>
              <w:rPr>
                <w:rFonts w:hint="eastAsia"/>
                <w:b/>
                <w:bCs/>
                <w:color w:val="00B050"/>
                <w:sz w:val="24"/>
                <w:szCs w:val="24"/>
              </w:rPr>
              <w:t>使用范围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  <w:sz w:val="18"/>
                <w:szCs w:val="18"/>
              </w:rPr>
              <w:t>使用液体类型：</w:t>
            </w:r>
          </w:p>
        </w:tc>
        <w:tc>
          <w:tcPr>
            <w:tcW w:w="670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油性介质，水</w:t>
            </w: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，酸碱盐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以及其他流动性液体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  <w:sz w:val="18"/>
                <w:szCs w:val="18"/>
              </w:rPr>
              <w:t>使用液体温度：</w:t>
            </w:r>
          </w:p>
        </w:tc>
        <w:tc>
          <w:tcPr>
            <w:tcW w:w="670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 w:eastAsia="宋体"/>
                <w:kern w:val="0"/>
                <w:sz w:val="18"/>
                <w:szCs w:val="18"/>
              </w:rPr>
              <w:t>-</w:t>
            </w: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0°—100°三相板内置非潜水/三相板外置潜水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调速方式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：</w:t>
            </w:r>
          </w:p>
        </w:tc>
        <w:tc>
          <w:tcPr>
            <w:tcW w:w="670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PWM调速：幅值5V 50-800HZ  可定制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0-5V调速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both"/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电位器调速：电阻范围4.7K~20K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  <w:sz w:val="18"/>
                <w:szCs w:val="18"/>
              </w:rPr>
              <w:t>使用电源类型：</w:t>
            </w:r>
          </w:p>
        </w:tc>
        <w:tc>
          <w:tcPr>
            <w:tcW w:w="670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直流电源</w:t>
            </w: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，太阳能板，蓄电池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84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bookmarkStart w:id="1" w:name="_Toc6298"/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 w:val="24"/>
                <w:szCs w:val="24"/>
                <w:highlight w:val="none"/>
                <w:lang w:val="en-US" w:eastAsia="zh-CN"/>
              </w:rPr>
              <w:t>三．</w:t>
            </w:r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 w:val="24"/>
                <w:szCs w:val="24"/>
              </w:rPr>
              <w:t>基本参数</w:t>
            </w:r>
            <w:bookmarkEnd w:id="1"/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 w:val="24"/>
                <w:szCs w:val="24"/>
                <w:lang w:val="en-US" w:eastAsia="zh-CN"/>
              </w:rPr>
              <w:t>(参数可以定制）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</w:rPr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产品型号：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DC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80E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1260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PWM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DC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80E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1260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VR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DC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80E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1260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VS</w:t>
            </w:r>
          </w:p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DC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80E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1260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S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DC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80E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-24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75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PWM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DC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80E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-24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75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VR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DC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80E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-24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75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VS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DC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80E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-24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75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S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DC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80E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-24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100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PWM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DC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80E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-24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100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VR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DC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80E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-24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100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VS</w:t>
            </w:r>
          </w:p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DC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80E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-24</w:t>
            </w:r>
            <w:r>
              <w:rPr>
                <w:rFonts w:hint="eastAsia" w:asciiTheme="minorEastAsia" w:hAnsiTheme="minorEastAsia" w:cstheme="minorEastAsia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0S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PWM:PWM 调速（50-800HZ/ 5V）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VR: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GB" w:eastAsia="zh-CN"/>
              </w:rPr>
              <w:t>电位器调速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VS: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GB" w:eastAsia="zh-CN"/>
              </w:rPr>
              <w:t>0~5V 模拟电压信号调速</w:t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S:固定转速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  <w:lang w:val="en-US" w:eastAsia="zh-CN"/>
              </w:rPr>
              <w:t>2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eastAsia="宋体"/>
                <w:kern w:val="0"/>
                <w:sz w:val="15"/>
                <w:szCs w:val="15"/>
              </w:rPr>
              <w:t>额定电压：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12V DC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</w:rPr>
              <w:t>24V DC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24V DC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eastAsia="宋体"/>
                <w:kern w:val="0"/>
                <w:sz w:val="15"/>
                <w:szCs w:val="15"/>
              </w:rPr>
              <w:t>工作电压范围：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>5-12V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>12-30V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>12-28V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当输入电压高于额定电压时可以恒功率输出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eastAsia="宋体"/>
                <w:kern w:val="0"/>
                <w:sz w:val="15"/>
                <w:szCs w:val="15"/>
              </w:rPr>
              <w:t>额定电流：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5.4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A(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6.6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A)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3.5</w:t>
            </w:r>
            <w:r>
              <w:rPr>
                <w:rFonts w:hint="eastAsia"/>
                <w:sz w:val="15"/>
                <w:szCs w:val="15"/>
              </w:rPr>
              <w:t>A(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4.2</w:t>
            </w:r>
            <w:r>
              <w:rPr>
                <w:rFonts w:hint="eastAsia"/>
                <w:sz w:val="15"/>
                <w:szCs w:val="15"/>
              </w:rPr>
              <w:t>A)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5.4</w:t>
            </w:r>
            <w:r>
              <w:rPr>
                <w:rFonts w:hint="eastAsia"/>
                <w:sz w:val="15"/>
                <w:szCs w:val="15"/>
              </w:rPr>
              <w:t>A(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6.3</w:t>
            </w:r>
            <w:r>
              <w:rPr>
                <w:rFonts w:hint="eastAsia"/>
                <w:sz w:val="15"/>
                <w:szCs w:val="15"/>
              </w:rPr>
              <w:t>A)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封闭出水口电流（敞口抽水电流）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eastAsia="宋体"/>
                <w:kern w:val="0"/>
                <w:sz w:val="15"/>
                <w:szCs w:val="15"/>
              </w:rPr>
              <w:t>输入功率：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65W(80W)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84</w:t>
            </w:r>
            <w:r>
              <w:rPr>
                <w:rFonts w:hint="eastAsia"/>
                <w:sz w:val="15"/>
                <w:szCs w:val="15"/>
              </w:rPr>
              <w:t>W(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100</w:t>
            </w:r>
            <w:r>
              <w:rPr>
                <w:rFonts w:hint="eastAsia"/>
                <w:sz w:val="15"/>
                <w:szCs w:val="15"/>
              </w:rPr>
              <w:t>W</w:t>
            </w:r>
            <w:bookmarkStart w:id="9" w:name="_GoBack"/>
            <w:bookmarkEnd w:id="9"/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130</w:t>
            </w:r>
            <w:r>
              <w:rPr>
                <w:rFonts w:hint="eastAsia"/>
                <w:sz w:val="15"/>
                <w:szCs w:val="15"/>
              </w:rPr>
              <w:t>W(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150</w:t>
            </w:r>
            <w:r>
              <w:rPr>
                <w:rFonts w:hint="eastAsia"/>
                <w:sz w:val="15"/>
                <w:szCs w:val="15"/>
              </w:rPr>
              <w:t>W)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封闭出水口功率（敞口抽水功率）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eastAsia="宋体"/>
                <w:kern w:val="0"/>
                <w:sz w:val="15"/>
                <w:szCs w:val="15"/>
              </w:rPr>
              <w:t>最大流量：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6100L/H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7000</w:t>
            </w:r>
            <w:r>
              <w:rPr>
                <w:rFonts w:hint="eastAsia"/>
                <w:sz w:val="15"/>
                <w:szCs w:val="15"/>
              </w:rPr>
              <w:t>L/H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7800</w:t>
            </w:r>
            <w:r>
              <w:rPr>
                <w:rFonts w:hint="eastAsia"/>
                <w:sz w:val="15"/>
                <w:szCs w:val="15"/>
              </w:rPr>
              <w:t>L/H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敞口流量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eastAsia="宋体"/>
                <w:kern w:val="0"/>
                <w:sz w:val="15"/>
                <w:szCs w:val="15"/>
              </w:rPr>
              <w:t>最大扬程：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6M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7.5</w:t>
            </w:r>
            <w:r>
              <w:rPr>
                <w:rFonts w:hint="eastAsia"/>
                <w:sz w:val="15"/>
                <w:szCs w:val="15"/>
              </w:rPr>
              <w:t>M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/>
                <w:sz w:val="15"/>
                <w:szCs w:val="15"/>
              </w:rPr>
              <w:t>M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15"/>
                <w:szCs w:val="15"/>
              </w:rPr>
            </w:pPr>
            <w:r>
              <w:rPr>
                <w:rFonts w:hint="eastAsia" w:eastAsia="宋体"/>
                <w:kern w:val="0"/>
                <w:sz w:val="15"/>
                <w:szCs w:val="15"/>
                <w:lang w:eastAsia="zh-CN"/>
              </w:rPr>
              <w:t>静态扬程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eastAsia="宋体"/>
                <w:kern w:val="0"/>
                <w:sz w:val="15"/>
                <w:szCs w:val="15"/>
              </w:rPr>
              <w:t>最</w:t>
            </w:r>
            <w:r>
              <w:rPr>
                <w:rFonts w:hint="eastAsia" w:eastAsia="宋体"/>
                <w:kern w:val="0"/>
                <w:sz w:val="15"/>
                <w:szCs w:val="15"/>
                <w:lang w:eastAsia="zh-CN"/>
              </w:rPr>
              <w:t>小</w:t>
            </w:r>
            <w:r>
              <w:rPr>
                <w:rFonts w:hint="eastAsia" w:eastAsia="宋体"/>
                <w:kern w:val="0"/>
                <w:sz w:val="15"/>
                <w:szCs w:val="15"/>
              </w:rPr>
              <w:t>输入电</w:t>
            </w:r>
            <w:r>
              <w:rPr>
                <w:rFonts w:hint="eastAsia" w:eastAsia="宋体"/>
                <w:kern w:val="0"/>
                <w:sz w:val="15"/>
                <w:szCs w:val="15"/>
                <w:lang w:eastAsia="zh-CN"/>
              </w:rPr>
              <w:t>源</w:t>
            </w:r>
            <w:r>
              <w:rPr>
                <w:rFonts w:hint="eastAsia" w:eastAsia="宋体"/>
                <w:kern w:val="0"/>
                <w:sz w:val="15"/>
                <w:szCs w:val="15"/>
              </w:rPr>
              <w:t>：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12V-5.4A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24V-</w:t>
            </w: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5.4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24V-4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A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84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bookmarkStart w:id="2" w:name="_Toc21395"/>
            <w:r>
              <w:rPr>
                <w:rStyle w:val="28"/>
                <w:rFonts w:hint="eastAsia" w:asciiTheme="minorEastAsia" w:hAnsiTheme="minorEastAsia" w:eastAsiaTheme="minorEastAsia" w:cstheme="minorEastAsia"/>
                <w:b/>
                <w:bCs/>
                <w:color w:val="00B050"/>
                <w:sz w:val="24"/>
                <w:szCs w:val="24"/>
                <w:highlight w:val="none"/>
                <w:lang w:val="en-US" w:eastAsia="zh-CN"/>
              </w:rPr>
              <w:t>四．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B050"/>
                <w:kern w:val="0"/>
                <w:sz w:val="24"/>
                <w:szCs w:val="24"/>
              </w:rPr>
              <w:t>附加功能说明</w:t>
            </w:r>
            <w:bookmarkEnd w:id="2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卡死保护</w:t>
            </w:r>
          </w:p>
        </w:tc>
        <w:tc>
          <w:tcPr>
            <w:tcW w:w="6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sz w:val="18"/>
                <w:szCs w:val="18"/>
                <w:lang w:eastAsia="zh-CN"/>
              </w:rPr>
              <w:t>卡死的时候水泵停止工作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缺水</w:t>
            </w: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空转保护</w:t>
            </w:r>
          </w:p>
        </w:tc>
        <w:tc>
          <w:tcPr>
            <w:tcW w:w="6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sz w:val="18"/>
                <w:szCs w:val="18"/>
                <w:lang w:eastAsia="zh-CN"/>
              </w:rPr>
              <w:t>水泵缺水或者空转时水泵会循环的停转（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8秒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运转（2秒），可定制保护策略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  <w:sz w:val="18"/>
                <w:szCs w:val="18"/>
              </w:rPr>
              <w:t>超载保护</w:t>
            </w:r>
          </w:p>
        </w:tc>
        <w:tc>
          <w:tcPr>
            <w:tcW w:w="6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eastAsia="宋体"/>
                <w:sz w:val="18"/>
                <w:szCs w:val="18"/>
              </w:rPr>
              <w:t>当电压不稳定或者其他原因导致超过水泵额定功率，水泵停止运行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电源反接</w:t>
            </w:r>
          </w:p>
        </w:tc>
        <w:tc>
          <w:tcPr>
            <w:tcW w:w="6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eastAsia="宋体"/>
                <w:sz w:val="18"/>
                <w:szCs w:val="18"/>
              </w:rPr>
              <w:t>电源正负极接反，水泵停止运行，重新接后，正常工作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18"/>
                <w:szCs w:val="18"/>
              </w:rPr>
            </w:pPr>
            <w:bookmarkStart w:id="3" w:name="_Toc29437"/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B05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水泵驱动器内置</w:t>
            </w: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B05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drawing>
                <wp:inline distT="0" distB="0" distL="114300" distR="114300">
                  <wp:extent cx="2477770" cy="552450"/>
                  <wp:effectExtent l="0" t="0" r="17780" b="0"/>
                  <wp:docPr id="1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77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适合外置陆用场合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B05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水泵驱动器外置</w:t>
            </w: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B05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drawing>
                <wp:inline distT="0" distB="0" distL="114300" distR="114300">
                  <wp:extent cx="2381885" cy="479425"/>
                  <wp:effectExtent l="0" t="0" r="18415" b="15875"/>
                  <wp:docPr id="13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47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适合温度高或者腐蚀溶液潜水安装</w:t>
            </w:r>
          </w:p>
        </w:tc>
      </w:tr>
    </w:tbl>
    <w:p>
      <w:pPr>
        <w:outlineLvl w:val="1"/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</w:pPr>
    </w:p>
    <w:p>
      <w:r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  <w:t>五．参数测试安装示意图</w:t>
      </w:r>
    </w:p>
    <w:bookmarkEnd w:id="3"/>
    <w:p>
      <w:pPr>
        <w:jc w:val="center"/>
      </w:pPr>
      <w:r>
        <w:rPr>
          <w:rFonts w:hint="eastAsia"/>
        </w:rPr>
        <w:drawing>
          <wp:inline distT="0" distB="0" distL="114300" distR="114300">
            <wp:extent cx="4144645" cy="3469640"/>
            <wp:effectExtent l="0" t="0" r="8255" b="16510"/>
            <wp:docPr id="3" name="图片 3" descr="F:\工作文件\55\图片\安装方式.png安装方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工作文件\55\图片\安装方式.png安装方式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4645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left"/>
        <w:rPr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sz w:val="18"/>
          <w:szCs w:val="18"/>
        </w:rPr>
        <w:t>注意：本产品不具备自吸功能，因此在安装时，需要保证压盖型腔内具有足够的水，即安装时需要保证水泵中心位置低于水箱内液面，以保证水泵能够正常运行！</w:t>
      </w:r>
    </w:p>
    <w:p>
      <w:pPr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eastAsia="宋体"/>
          <w:sz w:val="44"/>
          <w:szCs w:val="44"/>
        </w:rPr>
        <w:t xml:space="preserve"> </w:t>
      </w:r>
    </w:p>
    <w:p>
      <w:pPr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</w:pPr>
      <w:bookmarkStart w:id="4" w:name="_Toc12971"/>
      <w:r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  <w:t>六．扬程-流量曲线图</w:t>
      </w:r>
      <w:bookmarkEnd w:id="4"/>
    </w:p>
    <w:p>
      <w:pPr>
        <w:numPr>
          <w:ilvl w:val="0"/>
          <w:numId w:val="0"/>
        </w:numPr>
        <w:jc w:val="center"/>
        <w:outlineLvl w:val="1"/>
        <w:rPr>
          <w:rFonts w:hint="eastAsia" w:ascii="宋体" w:hAnsi="宋体" w:eastAsia="宋体" w:cs="宋体"/>
          <w:color w:val="000000"/>
          <w:sz w:val="22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28570" cy="2524125"/>
            <wp:effectExtent l="0" t="0" r="5080" b="9525"/>
            <wp:docPr id="10" name="图片 10" descr="F:\工作文件\80\图片\E表.pngE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:\工作文件\80\图片\E表.pngE表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5" w:name="_Toc6152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  <w:lang w:val="en-US" w:eastAsia="zh-CN"/>
        </w:rPr>
        <w:t>七．</w:t>
      </w:r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尺寸与外观图</w:t>
      </w:r>
    </w:p>
    <w:bookmarkEnd w:id="5"/>
    <w:p>
      <w:pPr>
        <w:outlineLvl w:val="1"/>
      </w:pPr>
      <w:r>
        <w:rPr>
          <w:rFonts w:hint="eastAsia"/>
          <w:lang w:val="en-US" w:eastAsia="zh-CN"/>
        </w:rPr>
        <w:t xml:space="preserve">         </w:t>
      </w:r>
    </w:p>
    <w:p>
      <w:pPr>
        <w:jc w:val="center"/>
      </w:pPr>
      <w:r>
        <w:drawing>
          <wp:inline distT="0" distB="0" distL="114300" distR="114300">
            <wp:extent cx="4101465" cy="4304665"/>
            <wp:effectExtent l="0" t="0" r="13335" b="635"/>
            <wp:docPr id="6" name="图片 2" descr="F:\工作文件\80\图片\80(二分螺纹）-Model.jpg80(二分螺纹）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F:\工作文件\80\图片\80(二分螺纹）-Model.jpg80(二分螺纹）-Model"/>
                    <pic:cNvPicPr>
                      <a:picLocks noChangeAspect="1"/>
                    </pic:cNvPicPr>
                  </pic:nvPicPr>
                  <pic:blipFill>
                    <a:blip r:embed="rId15"/>
                    <a:srcRect l="4443" t="11554" b="12017"/>
                    <a:stretch>
                      <a:fillRect/>
                    </a:stretch>
                  </pic:blipFill>
                  <pic:spPr>
                    <a:xfrm>
                      <a:off x="0" y="0"/>
                      <a:ext cx="4101465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4300855" cy="1867535"/>
            <wp:effectExtent l="0" t="0" r="4445" b="18415"/>
            <wp:docPr id="7" name="图片 7" descr="F:\工作文件\控制器\90-Model.jpg90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:\工作文件\控制器\90-Model.jpg90-Model"/>
                    <pic:cNvPicPr>
                      <a:picLocks noChangeAspect="1"/>
                    </pic:cNvPicPr>
                  </pic:nvPicPr>
                  <pic:blipFill>
                    <a:blip r:embed="rId16"/>
                    <a:srcRect t="33976" b="32961"/>
                    <a:stretch>
                      <a:fillRect/>
                    </a:stretch>
                  </pic:blipFill>
                  <pic:spPr>
                    <a:xfrm>
                      <a:off x="0" y="0"/>
                      <a:ext cx="430085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291715" cy="1967230"/>
            <wp:effectExtent l="0" t="0" r="13335" b="13970"/>
            <wp:docPr id="35" name="图片 6" descr="F:\工作文件\80\图片\80\4.jp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6" descr="F:\工作文件\80\图片\80\4.jpg4"/>
                    <pic:cNvPicPr>
                      <a:picLocks noChangeAspect="1"/>
                    </pic:cNvPicPr>
                  </pic:nvPicPr>
                  <pic:blipFill>
                    <a:blip r:embed="rId17"/>
                    <a:srcRect l="25313" t="20806" r="27495" b="18856"/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65325" cy="2025015"/>
            <wp:effectExtent l="0" t="0" r="15875" b="13335"/>
            <wp:docPr id="18" name="图片 3" descr="F:\工作文件\80\图片\80\3.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 descr="F:\工作文件\80\图片\80\3.jpg3"/>
                    <pic:cNvPicPr>
                      <a:picLocks noChangeAspect="1"/>
                    </pic:cNvPicPr>
                  </pic:nvPicPr>
                  <pic:blipFill>
                    <a:blip r:embed="rId18"/>
                    <a:srcRect l="26398" t="19280" r="31573" b="16195"/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        </w:t>
      </w:r>
    </w:p>
    <w:p>
      <w:pPr>
        <w:jc w:val="both"/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</w:p>
    <w:p>
      <w:bookmarkStart w:id="6" w:name="_Toc30051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  <w:lang w:val="en-US" w:eastAsia="zh-CN"/>
        </w:rPr>
        <w:t>八</w:t>
      </w:r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．装配爆炸图</w:t>
      </w:r>
    </w:p>
    <w:bookmarkEnd w:id="6"/>
    <w:tbl>
      <w:tblPr>
        <w:tblStyle w:val="13"/>
        <w:tblW w:w="82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3"/>
        <w:gridCol w:w="1182"/>
        <w:gridCol w:w="1338"/>
        <w:gridCol w:w="411"/>
        <w:gridCol w:w="883"/>
        <w:gridCol w:w="463"/>
        <w:gridCol w:w="1183"/>
        <w:gridCol w:w="1011"/>
        <w:gridCol w:w="369"/>
        <w:gridCol w:w="10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产   品   物   料   明    细    清    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规格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材料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 xml:space="preserve">名称 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规格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DC80E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压盖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PPS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PPS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石墨胶套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H8.5*19.3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橡胶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DC80叶轮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PPO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PPO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控制板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DC80中间盘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PPO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PPO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DC80主体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PPS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PPS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DC80绝缘套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PPO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PPO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转子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H51*26*10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铁氧体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DC80后盖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PPS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PPS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轴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H106.3*9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陶瓷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防水圈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70*64*3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橡胶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陶瓷垫片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H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4.5*16*9.2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陶瓷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20" w:firstLineChars="2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定子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65*31*6P*H47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矽钢片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石墨轴套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H9.1*16*9.2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石墨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24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</w:tbl>
    <w:p>
      <w:pPr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 xml:space="preserve">              </w:t>
      </w:r>
    </w:p>
    <w:p>
      <w:pPr>
        <w:jc w:val="center"/>
      </w:pPr>
      <w:r>
        <w:drawing>
          <wp:inline distT="0" distB="0" distL="114300" distR="114300">
            <wp:extent cx="3709035" cy="3810635"/>
            <wp:effectExtent l="0" t="0" r="5715" b="18415"/>
            <wp:docPr id="36" name="图片 9" descr="F:\工作文件\80\图片\80（剖面图）-Model.jpg80（剖面图）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9" descr="F:\工作文件\80\图片\80（剖面图）-Model.jpg80（剖面图）-Model"/>
                    <pic:cNvPicPr>
                      <a:picLocks noChangeAspect="1"/>
                    </pic:cNvPicPr>
                  </pic:nvPicPr>
                  <pic:blipFill>
                    <a:blip r:embed="rId19"/>
                    <a:srcRect t="10625" b="11108"/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  <w:lang w:val="en-US" w:eastAsia="zh-CN"/>
        </w:rPr>
      </w:pPr>
      <w:bookmarkStart w:id="7" w:name="_Toc15473"/>
    </w:p>
    <w:p>
      <w:pP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  <w:lang w:val="en-US" w:eastAsia="zh-CN"/>
        </w:rPr>
      </w:pPr>
    </w:p>
    <w:p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  <w:lang w:val="en-US" w:eastAsia="zh-CN"/>
        </w:rPr>
        <w:t>九．</w:t>
      </w:r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故障与维修</w:t>
      </w:r>
    </w:p>
    <w:bookmarkEnd w:id="7"/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2314"/>
        <w:gridCol w:w="2143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4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bookmarkStart w:id="8" w:name="_Toc23577"/>
            <w:r>
              <w:rPr>
                <w:rFonts w:hint="eastAsia" w:eastAsia="宋体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故     障     与     维    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故障现象</w:t>
            </w:r>
          </w:p>
        </w:tc>
        <w:tc>
          <w:tcPr>
            <w:tcW w:w="2143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原因</w:t>
            </w:r>
          </w:p>
        </w:tc>
        <w:tc>
          <w:tcPr>
            <w:tcW w:w="356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99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电流大，流量小</w:t>
            </w:r>
          </w:p>
        </w:tc>
        <w:tc>
          <w:tcPr>
            <w:tcW w:w="214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转子内有杂质</w:t>
            </w:r>
          </w:p>
        </w:tc>
        <w:tc>
          <w:tcPr>
            <w:tcW w:w="3566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  <w:t>拆开水泵清洗转子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9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  <w:t>电流变小，抽水断续</w:t>
            </w:r>
          </w:p>
        </w:tc>
        <w:tc>
          <w:tcPr>
            <w:tcW w:w="2143" w:type="dxa"/>
          </w:tcPr>
          <w:p>
            <w:pPr>
              <w:widowControl/>
              <w:jc w:val="left"/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  <w:t>缺水</w:t>
            </w:r>
          </w:p>
        </w:tc>
        <w:tc>
          <w:tcPr>
            <w:tcW w:w="3566" w:type="dxa"/>
          </w:tcPr>
          <w:p>
            <w:pPr>
              <w:widowControl/>
              <w:jc w:val="left"/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  <w:t>加水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restart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不转，电流时大时小</w:t>
            </w:r>
          </w:p>
        </w:tc>
        <w:tc>
          <w:tcPr>
            <w:tcW w:w="214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转子因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异物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卡死</w:t>
            </w:r>
          </w:p>
        </w:tc>
        <w:tc>
          <w:tcPr>
            <w:tcW w:w="3566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排除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转子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卡死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异物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不转，出现短路电流</w:t>
            </w:r>
          </w:p>
        </w:tc>
        <w:tc>
          <w:tcPr>
            <w:tcW w:w="214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控制板损坏</w:t>
            </w:r>
          </w:p>
        </w:tc>
        <w:tc>
          <w:tcPr>
            <w:tcW w:w="3566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更换水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不转无电流</w:t>
            </w:r>
          </w:p>
        </w:tc>
        <w:tc>
          <w:tcPr>
            <w:tcW w:w="214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电源线没有接好</w:t>
            </w:r>
          </w:p>
        </w:tc>
        <w:tc>
          <w:tcPr>
            <w:tcW w:w="3566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检查连接件或插头是否正常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99" w:type="dxa"/>
            <w:vMerge w:val="restart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314" w:type="dxa"/>
            <w:vMerge w:val="restart"/>
          </w:tcPr>
          <w:p>
            <w:pPr>
              <w:widowControl/>
              <w:ind w:left="600" w:hanging="600" w:hangingChars="300"/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</w:p>
          <w:p>
            <w:pPr>
              <w:widowControl/>
              <w:ind w:left="600" w:hanging="600" w:hangingChars="300"/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噪音大</w:t>
            </w:r>
          </w:p>
        </w:tc>
        <w:tc>
          <w:tcPr>
            <w:tcW w:w="214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内有杂质</w:t>
            </w:r>
          </w:p>
        </w:tc>
        <w:tc>
          <w:tcPr>
            <w:tcW w:w="3566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排除杂质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内有气体无法排出</w:t>
            </w:r>
          </w:p>
        </w:tc>
        <w:tc>
          <w:tcPr>
            <w:tcW w:w="3566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将出水口朝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放置，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液体中没有空气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内无液体，水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干磨</w:t>
            </w:r>
          </w:p>
        </w:tc>
        <w:tc>
          <w:tcPr>
            <w:tcW w:w="3566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使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内有液体即可</w:t>
            </w:r>
          </w:p>
        </w:tc>
      </w:tr>
    </w:tbl>
    <w:p>
      <w:pPr>
        <w:numPr>
          <w:ilvl w:val="0"/>
          <w:numId w:val="0"/>
        </w:numPr>
        <w:jc w:val="left"/>
        <w:outlineLvl w:val="1"/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  <w:lang w:val="en-US" w:eastAsia="zh-CN"/>
        </w:rPr>
        <w:t>十．</w:t>
      </w:r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注意事项</w:t>
      </w:r>
      <w:bookmarkEnd w:id="8"/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center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       意      事      项</w:t>
      </w: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</w:rPr>
        <w:t>严</w:t>
      </w:r>
      <w:r>
        <w:rPr>
          <w:rFonts w:hint="eastAsia" w:ascii="宋体" w:hAnsi="宋体" w:eastAsia="宋体" w:cs="宋体"/>
          <w:kern w:val="0"/>
          <w:sz w:val="20"/>
          <w:szCs w:val="20"/>
        </w:rPr>
        <w:t>禁</w:t>
      </w:r>
      <w:r>
        <w:rPr>
          <w:rFonts w:ascii="宋体" w:hAnsi="宋体" w:eastAsia="宋体" w:cs="宋体"/>
          <w:kern w:val="0"/>
          <w:sz w:val="20"/>
          <w:szCs w:val="20"/>
        </w:rPr>
        <w:t>使用带有</w:t>
      </w:r>
      <w:r>
        <w:rPr>
          <w:rFonts w:hint="eastAsia" w:ascii="宋体" w:hAnsi="宋体" w:eastAsia="宋体" w:cs="宋体"/>
          <w:kern w:val="0"/>
          <w:sz w:val="20"/>
          <w:szCs w:val="20"/>
        </w:rPr>
        <w:t>大于</w:t>
      </w:r>
      <w:r>
        <w:rPr>
          <w:rFonts w:ascii="宋体" w:hAnsi="宋体" w:eastAsia="宋体" w:cs="宋体"/>
          <w:kern w:val="0"/>
          <w:sz w:val="20"/>
          <w:szCs w:val="20"/>
        </w:rPr>
        <w:t>0.35</w:t>
      </w:r>
      <w:r>
        <w:rPr>
          <w:rFonts w:hint="eastAsia" w:ascii="宋体" w:hAnsi="宋体" w:eastAsia="宋体" w:cs="宋体"/>
          <w:kern w:val="0"/>
          <w:sz w:val="20"/>
          <w:szCs w:val="20"/>
        </w:rPr>
        <w:t>mm</w:t>
      </w:r>
      <w:r>
        <w:rPr>
          <w:rFonts w:ascii="宋体" w:hAnsi="宋体" w:eastAsia="宋体" w:cs="宋体"/>
          <w:kern w:val="0"/>
          <w:sz w:val="20"/>
          <w:szCs w:val="20"/>
        </w:rPr>
        <w:t>的杂质和陶磁性颗粒的</w:t>
      </w:r>
      <w:r>
        <w:rPr>
          <w:rFonts w:hint="eastAsia" w:ascii="宋体" w:hAnsi="宋体" w:eastAsia="宋体" w:cs="宋体"/>
          <w:kern w:val="0"/>
          <w:sz w:val="20"/>
          <w:szCs w:val="20"/>
        </w:rPr>
        <w:t>液体。</w:t>
      </w:r>
      <w:r>
        <w:rPr>
          <w:rFonts w:ascii="宋体" w:hAnsi="宋体" w:eastAsia="宋体" w:cs="宋体"/>
          <w:kern w:val="0"/>
          <w:sz w:val="20"/>
          <w:szCs w:val="20"/>
        </w:rPr>
        <w:t xml:space="preserve"> 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长时间不使用时，通电前最好先使用泵内有一定的</w:t>
      </w:r>
      <w:r>
        <w:rPr>
          <w:rFonts w:hint="eastAsia" w:ascii="宋体" w:hAnsi="宋体" w:eastAsia="宋体" w:cs="宋体"/>
          <w:kern w:val="0"/>
          <w:sz w:val="20"/>
          <w:szCs w:val="20"/>
          <w:lang w:eastAsia="zh-CN"/>
        </w:rPr>
        <w:t>液</w:t>
      </w:r>
      <w:r>
        <w:rPr>
          <w:rFonts w:hint="eastAsia" w:ascii="宋体" w:hAnsi="宋体" w:eastAsia="宋体" w:cs="宋体"/>
          <w:kern w:val="0"/>
          <w:sz w:val="20"/>
          <w:szCs w:val="20"/>
        </w:rPr>
        <w:t>体。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严禁泵内无液体时长时间使用。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通电前请先确认连接无误，否则可能产生故障。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低温环境使用时，请确保使用液体不会出现结冰或者变得很粘稠。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Theme="minorEastAsia" w:hAnsiTheme="minorEastAsia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连接器的针脚处有水渍，请将水渍处理干净后再使用。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doubleWave" w:color="auto" w:sz="6" w:space="1"/>
        <w:left w:val="doubleWave" w:color="auto" w:sz="6" w:space="4"/>
        <w:bottom w:val="doubleWave" w:color="auto" w:sz="6" w:space="1"/>
        <w:right w:val="doubleWave" w:color="auto" w:sz="6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eastAsia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NJWO7QAAAABQEAAA8AAAAA&#10;AAAAAQAgAAAAIgAAAGRycy9kb3ducmV2LnhtbFBLAQIUABQAAAAIAIdO4kBAinBfHAIAACIEAAAO&#10;AAAAAAAAAAEAIAAAAB8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 w:eastAsiaTheme="minorEastAsia"/>
                      </w:rPr>
                      <w:fldChar w:fldCharType="begin"/>
                    </w:r>
                    <w:r>
                      <w:rPr>
                        <w:rFonts w:hint="eastAsia" w:eastAsia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eastAsiaTheme="minor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 w:eastAsiaTheme="minor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6B4B"/>
    <w:multiLevelType w:val="singleLevel"/>
    <w:tmpl w:val="09DA6B4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4DD8937"/>
    <w:multiLevelType w:val="singleLevel"/>
    <w:tmpl w:val="34DD89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7BF7"/>
    <w:rsid w:val="00172A27"/>
    <w:rsid w:val="00192686"/>
    <w:rsid w:val="001B6541"/>
    <w:rsid w:val="00372779"/>
    <w:rsid w:val="00471E67"/>
    <w:rsid w:val="004B4E7D"/>
    <w:rsid w:val="004D1D0A"/>
    <w:rsid w:val="005223BE"/>
    <w:rsid w:val="0053395F"/>
    <w:rsid w:val="006A4595"/>
    <w:rsid w:val="006B36AA"/>
    <w:rsid w:val="007902DB"/>
    <w:rsid w:val="007F75A2"/>
    <w:rsid w:val="00833934"/>
    <w:rsid w:val="0084210C"/>
    <w:rsid w:val="0087251D"/>
    <w:rsid w:val="008E48E2"/>
    <w:rsid w:val="00952708"/>
    <w:rsid w:val="00A552C7"/>
    <w:rsid w:val="00A63654"/>
    <w:rsid w:val="00AD5B69"/>
    <w:rsid w:val="00BA2C31"/>
    <w:rsid w:val="00BD09DC"/>
    <w:rsid w:val="00CE196C"/>
    <w:rsid w:val="00CE34B3"/>
    <w:rsid w:val="00D0183D"/>
    <w:rsid w:val="00EE46F9"/>
    <w:rsid w:val="00FA309A"/>
    <w:rsid w:val="011B322A"/>
    <w:rsid w:val="01455085"/>
    <w:rsid w:val="017D7CF6"/>
    <w:rsid w:val="02447BC4"/>
    <w:rsid w:val="02D65864"/>
    <w:rsid w:val="02F06E65"/>
    <w:rsid w:val="03384C3B"/>
    <w:rsid w:val="03A4052A"/>
    <w:rsid w:val="03BA4725"/>
    <w:rsid w:val="03DD0BD4"/>
    <w:rsid w:val="04537FFE"/>
    <w:rsid w:val="049071CA"/>
    <w:rsid w:val="04B52F89"/>
    <w:rsid w:val="04C7231C"/>
    <w:rsid w:val="04E206FA"/>
    <w:rsid w:val="04F530FE"/>
    <w:rsid w:val="05041FAF"/>
    <w:rsid w:val="05116481"/>
    <w:rsid w:val="054156FC"/>
    <w:rsid w:val="054A53FA"/>
    <w:rsid w:val="05C74C21"/>
    <w:rsid w:val="05CA7AE3"/>
    <w:rsid w:val="05CE0601"/>
    <w:rsid w:val="05D367B8"/>
    <w:rsid w:val="066C16C1"/>
    <w:rsid w:val="075E0019"/>
    <w:rsid w:val="076239C4"/>
    <w:rsid w:val="07661015"/>
    <w:rsid w:val="07665FCD"/>
    <w:rsid w:val="076B48D6"/>
    <w:rsid w:val="076B4DB8"/>
    <w:rsid w:val="07820CF5"/>
    <w:rsid w:val="07BD2C6C"/>
    <w:rsid w:val="08AC0D3B"/>
    <w:rsid w:val="08AF1E25"/>
    <w:rsid w:val="0986623A"/>
    <w:rsid w:val="0A652001"/>
    <w:rsid w:val="0AE34C33"/>
    <w:rsid w:val="0B0720D1"/>
    <w:rsid w:val="0B4A0900"/>
    <w:rsid w:val="0BD67453"/>
    <w:rsid w:val="0C26300B"/>
    <w:rsid w:val="0C632EE1"/>
    <w:rsid w:val="0CB7536D"/>
    <w:rsid w:val="0CBA5BED"/>
    <w:rsid w:val="0CEB6677"/>
    <w:rsid w:val="0D027C52"/>
    <w:rsid w:val="0DFD531A"/>
    <w:rsid w:val="0E6C3344"/>
    <w:rsid w:val="0EBC7179"/>
    <w:rsid w:val="0F1A7E95"/>
    <w:rsid w:val="0F1F67F5"/>
    <w:rsid w:val="0F63552A"/>
    <w:rsid w:val="0FEB3D79"/>
    <w:rsid w:val="102B27B9"/>
    <w:rsid w:val="103D49FB"/>
    <w:rsid w:val="10DC213E"/>
    <w:rsid w:val="11C46DFC"/>
    <w:rsid w:val="1277713D"/>
    <w:rsid w:val="128E0074"/>
    <w:rsid w:val="136676CA"/>
    <w:rsid w:val="139B4E05"/>
    <w:rsid w:val="13DB3502"/>
    <w:rsid w:val="144E2283"/>
    <w:rsid w:val="149225AD"/>
    <w:rsid w:val="14A421E9"/>
    <w:rsid w:val="14AD0A9D"/>
    <w:rsid w:val="14BB696F"/>
    <w:rsid w:val="14D737EE"/>
    <w:rsid w:val="150F0EEC"/>
    <w:rsid w:val="15147FFA"/>
    <w:rsid w:val="154561D6"/>
    <w:rsid w:val="15BA4245"/>
    <w:rsid w:val="15D66813"/>
    <w:rsid w:val="160D1604"/>
    <w:rsid w:val="165A3376"/>
    <w:rsid w:val="168B2C39"/>
    <w:rsid w:val="1694161F"/>
    <w:rsid w:val="17252283"/>
    <w:rsid w:val="17D7585F"/>
    <w:rsid w:val="18574336"/>
    <w:rsid w:val="189E6DF3"/>
    <w:rsid w:val="18B27BB6"/>
    <w:rsid w:val="18B773FA"/>
    <w:rsid w:val="18F4100F"/>
    <w:rsid w:val="1A2A7686"/>
    <w:rsid w:val="1A2D23E0"/>
    <w:rsid w:val="1C8D166A"/>
    <w:rsid w:val="1C9310F0"/>
    <w:rsid w:val="1CD42271"/>
    <w:rsid w:val="1D3A48AE"/>
    <w:rsid w:val="1D461F9D"/>
    <w:rsid w:val="1D561E59"/>
    <w:rsid w:val="1E830723"/>
    <w:rsid w:val="1EBC1B63"/>
    <w:rsid w:val="1EDC52DD"/>
    <w:rsid w:val="1EE4468B"/>
    <w:rsid w:val="1F010ABE"/>
    <w:rsid w:val="1F13176F"/>
    <w:rsid w:val="1F1B6795"/>
    <w:rsid w:val="1F4D6BBA"/>
    <w:rsid w:val="1F792264"/>
    <w:rsid w:val="1FAB6505"/>
    <w:rsid w:val="1FC16F02"/>
    <w:rsid w:val="1FC614F8"/>
    <w:rsid w:val="1FCA2176"/>
    <w:rsid w:val="1FDE18B6"/>
    <w:rsid w:val="1FFC3036"/>
    <w:rsid w:val="204C3FF4"/>
    <w:rsid w:val="207F3A35"/>
    <w:rsid w:val="209A44EC"/>
    <w:rsid w:val="20AA129F"/>
    <w:rsid w:val="20E5193A"/>
    <w:rsid w:val="21396003"/>
    <w:rsid w:val="213B5550"/>
    <w:rsid w:val="222D1BFB"/>
    <w:rsid w:val="227155ED"/>
    <w:rsid w:val="22C92938"/>
    <w:rsid w:val="237279FA"/>
    <w:rsid w:val="2385152D"/>
    <w:rsid w:val="243326F1"/>
    <w:rsid w:val="24A424A3"/>
    <w:rsid w:val="256B738B"/>
    <w:rsid w:val="25701F74"/>
    <w:rsid w:val="258621B7"/>
    <w:rsid w:val="25A44091"/>
    <w:rsid w:val="25B127E2"/>
    <w:rsid w:val="25CC0DF0"/>
    <w:rsid w:val="25FB5C01"/>
    <w:rsid w:val="260F0235"/>
    <w:rsid w:val="26141CE5"/>
    <w:rsid w:val="2676087F"/>
    <w:rsid w:val="271E6705"/>
    <w:rsid w:val="275E1338"/>
    <w:rsid w:val="27AC05F2"/>
    <w:rsid w:val="27EE0CCE"/>
    <w:rsid w:val="281407FD"/>
    <w:rsid w:val="281735AE"/>
    <w:rsid w:val="282C6876"/>
    <w:rsid w:val="28531B06"/>
    <w:rsid w:val="288D6EAD"/>
    <w:rsid w:val="28913074"/>
    <w:rsid w:val="289A2A66"/>
    <w:rsid w:val="28B9453B"/>
    <w:rsid w:val="28CB1F9D"/>
    <w:rsid w:val="28F836A4"/>
    <w:rsid w:val="298D2A30"/>
    <w:rsid w:val="29CA2420"/>
    <w:rsid w:val="2A216DFB"/>
    <w:rsid w:val="2B33633F"/>
    <w:rsid w:val="2BCB414A"/>
    <w:rsid w:val="2BF06837"/>
    <w:rsid w:val="2C020D7A"/>
    <w:rsid w:val="2C5F04A7"/>
    <w:rsid w:val="2CE73DF7"/>
    <w:rsid w:val="2CF4432E"/>
    <w:rsid w:val="2D105970"/>
    <w:rsid w:val="2D225A9A"/>
    <w:rsid w:val="2D3779E3"/>
    <w:rsid w:val="2DDB4BC0"/>
    <w:rsid w:val="2DE332DE"/>
    <w:rsid w:val="2E462B26"/>
    <w:rsid w:val="2E490ED6"/>
    <w:rsid w:val="2E776B3F"/>
    <w:rsid w:val="2EB53ECB"/>
    <w:rsid w:val="2F3E5D4D"/>
    <w:rsid w:val="2F9B1E96"/>
    <w:rsid w:val="2FD924A4"/>
    <w:rsid w:val="30161A29"/>
    <w:rsid w:val="30200B30"/>
    <w:rsid w:val="303C54D4"/>
    <w:rsid w:val="306D261F"/>
    <w:rsid w:val="30AF1CBB"/>
    <w:rsid w:val="30E01C60"/>
    <w:rsid w:val="311104D2"/>
    <w:rsid w:val="31762168"/>
    <w:rsid w:val="319034E5"/>
    <w:rsid w:val="31D4173E"/>
    <w:rsid w:val="320D2A73"/>
    <w:rsid w:val="32250BB8"/>
    <w:rsid w:val="322F7B4B"/>
    <w:rsid w:val="32634DD9"/>
    <w:rsid w:val="32E00EA7"/>
    <w:rsid w:val="32E036A7"/>
    <w:rsid w:val="33321645"/>
    <w:rsid w:val="3392237E"/>
    <w:rsid w:val="3394203E"/>
    <w:rsid w:val="33A37EC9"/>
    <w:rsid w:val="347C6C3A"/>
    <w:rsid w:val="34E14F94"/>
    <w:rsid w:val="350B50B6"/>
    <w:rsid w:val="36083A92"/>
    <w:rsid w:val="360C15F9"/>
    <w:rsid w:val="361D270D"/>
    <w:rsid w:val="361F36B8"/>
    <w:rsid w:val="36644571"/>
    <w:rsid w:val="36662652"/>
    <w:rsid w:val="36BD401D"/>
    <w:rsid w:val="36CE02B1"/>
    <w:rsid w:val="36E74599"/>
    <w:rsid w:val="370D5DE3"/>
    <w:rsid w:val="378015AA"/>
    <w:rsid w:val="3786289B"/>
    <w:rsid w:val="37C91230"/>
    <w:rsid w:val="37D17141"/>
    <w:rsid w:val="386E43F6"/>
    <w:rsid w:val="3897656D"/>
    <w:rsid w:val="399D6070"/>
    <w:rsid w:val="39DD568E"/>
    <w:rsid w:val="3A200DA4"/>
    <w:rsid w:val="3A472D18"/>
    <w:rsid w:val="3A800B23"/>
    <w:rsid w:val="3A900D10"/>
    <w:rsid w:val="3AC30347"/>
    <w:rsid w:val="3AC32661"/>
    <w:rsid w:val="3B11023C"/>
    <w:rsid w:val="3B465CF7"/>
    <w:rsid w:val="3B7723BD"/>
    <w:rsid w:val="3C195177"/>
    <w:rsid w:val="3C4F61CC"/>
    <w:rsid w:val="3C6D41ED"/>
    <w:rsid w:val="3CF24975"/>
    <w:rsid w:val="3CFE44A2"/>
    <w:rsid w:val="3D3B66A0"/>
    <w:rsid w:val="3D9830B4"/>
    <w:rsid w:val="3DF35727"/>
    <w:rsid w:val="3EAA4E4B"/>
    <w:rsid w:val="3EE851B4"/>
    <w:rsid w:val="3F3D0DF8"/>
    <w:rsid w:val="3F86642A"/>
    <w:rsid w:val="40510B21"/>
    <w:rsid w:val="40580E46"/>
    <w:rsid w:val="40757404"/>
    <w:rsid w:val="40A86B92"/>
    <w:rsid w:val="40B34B2E"/>
    <w:rsid w:val="413C5B7C"/>
    <w:rsid w:val="419137DD"/>
    <w:rsid w:val="41A04DCA"/>
    <w:rsid w:val="420359CA"/>
    <w:rsid w:val="42167D0A"/>
    <w:rsid w:val="42F95C21"/>
    <w:rsid w:val="436409C4"/>
    <w:rsid w:val="438C2124"/>
    <w:rsid w:val="43AE16A9"/>
    <w:rsid w:val="43BE717E"/>
    <w:rsid w:val="44193033"/>
    <w:rsid w:val="4443160D"/>
    <w:rsid w:val="44586568"/>
    <w:rsid w:val="44703CD6"/>
    <w:rsid w:val="454B1A63"/>
    <w:rsid w:val="45646046"/>
    <w:rsid w:val="45690311"/>
    <w:rsid w:val="45763C84"/>
    <w:rsid w:val="457E08A8"/>
    <w:rsid w:val="458207E0"/>
    <w:rsid w:val="45833565"/>
    <w:rsid w:val="45C1477F"/>
    <w:rsid w:val="45D41455"/>
    <w:rsid w:val="45D87861"/>
    <w:rsid w:val="468B42E4"/>
    <w:rsid w:val="46A567E6"/>
    <w:rsid w:val="46B94B2C"/>
    <w:rsid w:val="46CE32EB"/>
    <w:rsid w:val="471B78DA"/>
    <w:rsid w:val="47F84B7B"/>
    <w:rsid w:val="481D54AD"/>
    <w:rsid w:val="487D534D"/>
    <w:rsid w:val="48C66FDA"/>
    <w:rsid w:val="4910077C"/>
    <w:rsid w:val="492B4FF8"/>
    <w:rsid w:val="492B5323"/>
    <w:rsid w:val="493F60EA"/>
    <w:rsid w:val="4AC26821"/>
    <w:rsid w:val="4ADE4900"/>
    <w:rsid w:val="4AE93901"/>
    <w:rsid w:val="4B06394D"/>
    <w:rsid w:val="4BA2557C"/>
    <w:rsid w:val="4BBE55C0"/>
    <w:rsid w:val="4BCB37A1"/>
    <w:rsid w:val="4BCE177C"/>
    <w:rsid w:val="4BCE779C"/>
    <w:rsid w:val="4C032A3F"/>
    <w:rsid w:val="4C0E7C2C"/>
    <w:rsid w:val="4D295BF6"/>
    <w:rsid w:val="4D5D25EB"/>
    <w:rsid w:val="4D871809"/>
    <w:rsid w:val="4D900116"/>
    <w:rsid w:val="4DD21599"/>
    <w:rsid w:val="4E030C35"/>
    <w:rsid w:val="4E8C5163"/>
    <w:rsid w:val="4E912539"/>
    <w:rsid w:val="4EE638F6"/>
    <w:rsid w:val="4F094D6F"/>
    <w:rsid w:val="4F220DF7"/>
    <w:rsid w:val="4F3571BF"/>
    <w:rsid w:val="4F82435A"/>
    <w:rsid w:val="4F8B6D41"/>
    <w:rsid w:val="505F0162"/>
    <w:rsid w:val="507B48A0"/>
    <w:rsid w:val="50A139D9"/>
    <w:rsid w:val="51246421"/>
    <w:rsid w:val="516576C9"/>
    <w:rsid w:val="51C14738"/>
    <w:rsid w:val="51EC1BF4"/>
    <w:rsid w:val="52430AAC"/>
    <w:rsid w:val="528D08D7"/>
    <w:rsid w:val="52E80D44"/>
    <w:rsid w:val="530E3938"/>
    <w:rsid w:val="530F2FAD"/>
    <w:rsid w:val="53463D2D"/>
    <w:rsid w:val="53D72253"/>
    <w:rsid w:val="54465805"/>
    <w:rsid w:val="5452378C"/>
    <w:rsid w:val="549249CF"/>
    <w:rsid w:val="54BE48A8"/>
    <w:rsid w:val="54E3723C"/>
    <w:rsid w:val="54E77C94"/>
    <w:rsid w:val="55083A77"/>
    <w:rsid w:val="552362F3"/>
    <w:rsid w:val="55660668"/>
    <w:rsid w:val="557F081C"/>
    <w:rsid w:val="55B042AA"/>
    <w:rsid w:val="5618397D"/>
    <w:rsid w:val="563B3728"/>
    <w:rsid w:val="564646A1"/>
    <w:rsid w:val="56F750BF"/>
    <w:rsid w:val="577D390C"/>
    <w:rsid w:val="57DF6FA0"/>
    <w:rsid w:val="581E3E7F"/>
    <w:rsid w:val="58D02C15"/>
    <w:rsid w:val="59175A27"/>
    <w:rsid w:val="59206024"/>
    <w:rsid w:val="597C3BA9"/>
    <w:rsid w:val="59A42E5B"/>
    <w:rsid w:val="59CF06F2"/>
    <w:rsid w:val="5A0E543C"/>
    <w:rsid w:val="5AE55916"/>
    <w:rsid w:val="5B4D4E73"/>
    <w:rsid w:val="5B4E43D7"/>
    <w:rsid w:val="5BD868A8"/>
    <w:rsid w:val="5C137D7F"/>
    <w:rsid w:val="5C220F0A"/>
    <w:rsid w:val="5C3837DC"/>
    <w:rsid w:val="5C9D631D"/>
    <w:rsid w:val="5C9F428F"/>
    <w:rsid w:val="5D3131C3"/>
    <w:rsid w:val="5D5270F8"/>
    <w:rsid w:val="5D547FAD"/>
    <w:rsid w:val="5DE96977"/>
    <w:rsid w:val="5E2C03B9"/>
    <w:rsid w:val="5E793B0C"/>
    <w:rsid w:val="5FA005E9"/>
    <w:rsid w:val="60144580"/>
    <w:rsid w:val="601823D7"/>
    <w:rsid w:val="602A0797"/>
    <w:rsid w:val="60D32B89"/>
    <w:rsid w:val="61164D9D"/>
    <w:rsid w:val="61226201"/>
    <w:rsid w:val="61592884"/>
    <w:rsid w:val="616C4BBB"/>
    <w:rsid w:val="618D4A91"/>
    <w:rsid w:val="61AA31D7"/>
    <w:rsid w:val="62457E69"/>
    <w:rsid w:val="635B093A"/>
    <w:rsid w:val="636B7F1F"/>
    <w:rsid w:val="636C76D7"/>
    <w:rsid w:val="63C12C4D"/>
    <w:rsid w:val="63CC0493"/>
    <w:rsid w:val="648D39C8"/>
    <w:rsid w:val="64C91387"/>
    <w:rsid w:val="6544716A"/>
    <w:rsid w:val="660957F7"/>
    <w:rsid w:val="6619096D"/>
    <w:rsid w:val="662F18CA"/>
    <w:rsid w:val="664942CD"/>
    <w:rsid w:val="664E4880"/>
    <w:rsid w:val="667226C7"/>
    <w:rsid w:val="667669E7"/>
    <w:rsid w:val="66A94445"/>
    <w:rsid w:val="66BC0A5B"/>
    <w:rsid w:val="6721621B"/>
    <w:rsid w:val="673908B9"/>
    <w:rsid w:val="67534F00"/>
    <w:rsid w:val="67661062"/>
    <w:rsid w:val="679D7B67"/>
    <w:rsid w:val="67B6371B"/>
    <w:rsid w:val="68336D05"/>
    <w:rsid w:val="686D0217"/>
    <w:rsid w:val="6894663E"/>
    <w:rsid w:val="690D0384"/>
    <w:rsid w:val="697F7CE4"/>
    <w:rsid w:val="6A032A48"/>
    <w:rsid w:val="6A376C3A"/>
    <w:rsid w:val="6A3F3351"/>
    <w:rsid w:val="6A486420"/>
    <w:rsid w:val="6B813165"/>
    <w:rsid w:val="6BD13BC3"/>
    <w:rsid w:val="6BD6520E"/>
    <w:rsid w:val="6BDC1583"/>
    <w:rsid w:val="6C2D0408"/>
    <w:rsid w:val="6C3F6C95"/>
    <w:rsid w:val="6CB85F29"/>
    <w:rsid w:val="6CF814DF"/>
    <w:rsid w:val="6D687650"/>
    <w:rsid w:val="6D8B04AD"/>
    <w:rsid w:val="6DE76AB7"/>
    <w:rsid w:val="6E4336B1"/>
    <w:rsid w:val="6E6F63D1"/>
    <w:rsid w:val="6E7B0635"/>
    <w:rsid w:val="6E8B22EF"/>
    <w:rsid w:val="6EBA3D9B"/>
    <w:rsid w:val="6ECB4D4C"/>
    <w:rsid w:val="6ED50A41"/>
    <w:rsid w:val="6F0670BE"/>
    <w:rsid w:val="6F192389"/>
    <w:rsid w:val="6F23794D"/>
    <w:rsid w:val="6F6307B8"/>
    <w:rsid w:val="6F8574AE"/>
    <w:rsid w:val="6FE5403F"/>
    <w:rsid w:val="704F6C0E"/>
    <w:rsid w:val="705F4F84"/>
    <w:rsid w:val="70A0519F"/>
    <w:rsid w:val="70BE5477"/>
    <w:rsid w:val="70D94387"/>
    <w:rsid w:val="7112703B"/>
    <w:rsid w:val="71261639"/>
    <w:rsid w:val="71466865"/>
    <w:rsid w:val="715F1E1D"/>
    <w:rsid w:val="719D4DE7"/>
    <w:rsid w:val="72CD79C0"/>
    <w:rsid w:val="734F2F0F"/>
    <w:rsid w:val="737C6031"/>
    <w:rsid w:val="73D16A88"/>
    <w:rsid w:val="73DD69C4"/>
    <w:rsid w:val="73F12031"/>
    <w:rsid w:val="73F67921"/>
    <w:rsid w:val="740D43CF"/>
    <w:rsid w:val="743A292E"/>
    <w:rsid w:val="745A1E3B"/>
    <w:rsid w:val="747365F6"/>
    <w:rsid w:val="74DB3623"/>
    <w:rsid w:val="74EF0A4D"/>
    <w:rsid w:val="751D6C59"/>
    <w:rsid w:val="75A41557"/>
    <w:rsid w:val="75A941AB"/>
    <w:rsid w:val="75AD7E0C"/>
    <w:rsid w:val="75F23019"/>
    <w:rsid w:val="761915CB"/>
    <w:rsid w:val="770802A8"/>
    <w:rsid w:val="77200405"/>
    <w:rsid w:val="77543074"/>
    <w:rsid w:val="77697307"/>
    <w:rsid w:val="777C484F"/>
    <w:rsid w:val="77823CC8"/>
    <w:rsid w:val="778C451A"/>
    <w:rsid w:val="77944409"/>
    <w:rsid w:val="77F5605E"/>
    <w:rsid w:val="781D6694"/>
    <w:rsid w:val="78322FFD"/>
    <w:rsid w:val="7859696E"/>
    <w:rsid w:val="788B7E98"/>
    <w:rsid w:val="78C71EDD"/>
    <w:rsid w:val="78CE67DE"/>
    <w:rsid w:val="78F2777F"/>
    <w:rsid w:val="790A27AC"/>
    <w:rsid w:val="792D7AA0"/>
    <w:rsid w:val="7A4657D6"/>
    <w:rsid w:val="7B295B53"/>
    <w:rsid w:val="7C7D1E69"/>
    <w:rsid w:val="7C926C37"/>
    <w:rsid w:val="7C9502A7"/>
    <w:rsid w:val="7C962C8D"/>
    <w:rsid w:val="7CE07C98"/>
    <w:rsid w:val="7CE51368"/>
    <w:rsid w:val="7D273CEB"/>
    <w:rsid w:val="7D407DFB"/>
    <w:rsid w:val="7D4A01DB"/>
    <w:rsid w:val="7D522FD3"/>
    <w:rsid w:val="7D8529C9"/>
    <w:rsid w:val="7DAD0B28"/>
    <w:rsid w:val="7DD43109"/>
    <w:rsid w:val="7E2C6801"/>
    <w:rsid w:val="7E541EC2"/>
    <w:rsid w:val="7E907FBB"/>
    <w:rsid w:val="7EA7486E"/>
    <w:rsid w:val="7EB940E3"/>
    <w:rsid w:val="7EFF4E68"/>
    <w:rsid w:val="7F1E2A49"/>
    <w:rsid w:val="7F732826"/>
    <w:rsid w:val="7FB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76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9"/>
    <w:pPr>
      <w:keepNext/>
      <w:keepLines/>
      <w:spacing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7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unhideWhenUsed/>
    <w:qFormat/>
    <w:uiPriority w:val="39"/>
  </w:style>
  <w:style w:type="paragraph" w:styleId="12">
    <w:name w:val="toc 2"/>
    <w:basedOn w:val="1"/>
    <w:next w:val="1"/>
    <w:semiHidden/>
    <w:unhideWhenUsed/>
    <w:qFormat/>
    <w:uiPriority w:val="39"/>
    <w:pPr>
      <w:ind w:left="420" w:leftChars="200"/>
    </w:p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semiHidden/>
    <w:unhideWhenUsed/>
    <w:qFormat/>
    <w:uiPriority w:val="99"/>
    <w:rPr>
      <w:color w:val="0000FF"/>
      <w:u w:val="single"/>
    </w:rPr>
  </w:style>
  <w:style w:type="character" w:customStyle="1" w:styleId="17">
    <w:name w:val="批注框文本 字符"/>
    <w:basedOn w:val="15"/>
    <w:link w:val="8"/>
    <w:semiHidden/>
    <w:qFormat/>
    <w:uiPriority w:val="99"/>
    <w:rPr>
      <w:sz w:val="18"/>
      <w:szCs w:val="18"/>
    </w:rPr>
  </w:style>
  <w:style w:type="character" w:customStyle="1" w:styleId="18">
    <w:name w:val="标题 1 字符"/>
    <w:basedOn w:val="15"/>
    <w:link w:val="2"/>
    <w:qFormat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9">
    <w:name w:val="标题 2 字符"/>
    <w:basedOn w:val="15"/>
    <w:link w:val="3"/>
    <w:qFormat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20">
    <w:name w:val="页脚 字符"/>
    <w:basedOn w:val="15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页眉 字符"/>
    <w:basedOn w:val="15"/>
    <w:link w:val="10"/>
    <w:semiHidden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styleId="2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标题 3 字符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5">
    <w:name w:val="标题 4 字符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标题 5 字符"/>
    <w:basedOn w:val="15"/>
    <w:link w:val="6"/>
    <w:qFormat/>
    <w:uiPriority w:val="9"/>
    <w:rPr>
      <w:b/>
      <w:bCs/>
      <w:sz w:val="28"/>
      <w:szCs w:val="28"/>
    </w:rPr>
  </w:style>
  <w:style w:type="character" w:customStyle="1" w:styleId="27">
    <w:name w:val="标题 6 字符"/>
    <w:basedOn w:val="15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8">
    <w:name w:val="15"/>
    <w:basedOn w:val="15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hyperlink" Target="&#33457;" TargetMode="Externa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983664-9E89-4D0C-B136-2D72543ABB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513</Words>
  <Characters>2928</Characters>
  <Lines>24</Lines>
  <Paragraphs>6</Paragraphs>
  <TotalTime>2</TotalTime>
  <ScaleCrop>false</ScaleCrop>
  <LinksUpToDate>false</LinksUpToDate>
  <CharactersWithSpaces>3435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2018-04-21T01:15:00Z</dcterms:created>
  <dc:creator>Administrator</dc:creator>
  <cp:lastModifiedBy>dell</cp:lastModifiedBy>
  <cp:lastPrinted>2018-04-21T01:22:00Z</cp:lastPrinted>
  <dcterms:modified xsi:type="dcterms:W3CDTF">2020-10-14T06:28:22Z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